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need 36 credits for an ISM, 4 of which are taken up by a capstone, IARL 460 - Individualized Studies Capstone (usually taken in the final semester of an ISM). What are the remaining 32 credits you want to take?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this Course Plan Form, make sure to include information in each column and use the course number to hyperlink to the course description in the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Course Bulletin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For any courses that don’t list when they are offered, identify a backup to take if the original course is not available.  </w:t>
      </w:r>
    </w:p>
    <w:p w:rsidR="00000000" w:rsidDel="00000000" w:rsidP="00000000" w:rsidRDefault="00000000" w:rsidRPr="00000000" w14:paraId="00000005">
      <w:pPr>
        <w:spacing w:line="331.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you create your ISM course plan, please consider the following requirements; contact the CIL Director, </w:t>
      </w:r>
      <w:r w:rsidDel="00000000" w:rsidR="00000000" w:rsidRPr="00000000">
        <w:rPr>
          <w:rFonts w:ascii="Calibri" w:cs="Calibri" w:eastAsia="Calibri" w:hAnsi="Calibri"/>
          <w:color w:val="1155cc"/>
          <w:u w:val="single"/>
          <w:rtl w:val="0"/>
        </w:rPr>
        <w:t xml:space="preserve">cil@geneseo.edu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if you need to discuss alternatives to any of them: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Depth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15+ credits from a single prefix (9+ at 200- or 300- level).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Breadth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credits from at least 2 prefixes.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more than 6 credits of Directed Study/Internships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including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the ISM capstone (IARL 460).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24+ credits at 200-level or above, including 18+ must be 300-level or above.</w:t>
      </w:r>
    </w:p>
    <w:p w:rsidR="00000000" w:rsidDel="00000000" w:rsidP="00000000" w:rsidRDefault="00000000" w:rsidRPr="00000000" w14:paraId="0000000B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615.0" w:type="dxa"/>
        <w:tblLayout w:type="fixed"/>
        <w:tblLook w:val="0600"/>
      </w:tblPr>
      <w:tblGrid>
        <w:gridCol w:w="1305"/>
        <w:gridCol w:w="720"/>
        <w:gridCol w:w="900"/>
        <w:gridCol w:w="2865"/>
        <w:gridCol w:w="795"/>
        <w:gridCol w:w="1740"/>
        <w:gridCol w:w="2115"/>
        <w:tblGridChange w:id="0">
          <w:tblGrid>
            <w:gridCol w:w="1305"/>
            <w:gridCol w:w="720"/>
            <w:gridCol w:w="900"/>
            <w:gridCol w:w="2865"/>
            <w:gridCol w:w="795"/>
            <w:gridCol w:w="1740"/>
            <w:gridCol w:w="211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Prefix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Course #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Title (hyperlink to Bulletin)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Credits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Prerequisites?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Offered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Capstone Course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Capstone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IARL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460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ISM Capstone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Permission of Instructor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By arrangement with instructor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Depth Courses - Courses from a single prefix, 9+ at the 200- or 300-level  (at least 15 credits)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Depth (any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Depth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(any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Depth (200- or 300-level)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Depth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(300-level)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Depth  (300-level)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Breadth Courses (courses from at least one other prefix than the one listed under Depth; at least 3 credits. Note that you can list courses with the same prefix as your depth courses here, but at least one course must have a different prefix)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300-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300-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300-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300- level or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Alternative Courses (alternatives to the courses listed above)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Alternative 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Alternative 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Alternative 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spacing w:after="200" w:lineRule="auto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Individualized Studies Major Course Plan (</w:t>
    </w:r>
    <w:r w:rsidDel="00000000" w:rsidR="00000000" w:rsidRPr="00000000">
      <w:rPr>
        <w:rFonts w:ascii="Calibri" w:cs="Calibri" w:eastAsia="Calibri" w:hAnsi="Calibri"/>
        <w:b w:val="1"/>
        <w:i w:val="1"/>
        <w:sz w:val="28"/>
        <w:szCs w:val="28"/>
        <w:rtl w:val="0"/>
      </w:rPr>
      <w:t xml:space="preserve">STUDENT NAME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)</w:t>
    </w:r>
  </w:p>
  <w:p w:rsidR="00000000" w:rsidDel="00000000" w:rsidP="00000000" w:rsidRDefault="00000000" w:rsidRPr="00000000" w14:paraId="0000009D">
    <w:pPr>
      <w:spacing w:line="331.2" w:lineRule="auto"/>
      <w:rPr>
        <w:rFonts w:ascii="Calibri" w:cs="Calibri" w:eastAsia="Calibri" w:hAnsi="Calibri"/>
        <w:b w:val="1"/>
        <w:sz w:val="30"/>
        <w:szCs w:val="30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Major Title: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ulletin.geneseo.edu/content.php?catoid=16&amp;navoid=652" TargetMode="External"/><Relationship Id="rId7" Type="http://schemas.openxmlformats.org/officeDocument/2006/relationships/hyperlink" Target="https://bulletin.geneseo.edu/content.php?filter%5B27%5D=IARL&amp;filter%5B29%5D=&amp;filter%5Bkeyword%5D=&amp;filter%5B32%5D=1&amp;filter%5Bcpage%5D=1&amp;cur_cat_oid=16&amp;expand=&amp;navoid=652&amp;search_database=Filter#acalog_template_course_filte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