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70B43" w14:textId="0A6D99CA" w:rsidR="00B164CD" w:rsidRPr="00B164CD" w:rsidRDefault="00B164CD" w:rsidP="00B164CD">
      <w:pPr>
        <w:spacing w:line="252" w:lineRule="auto"/>
        <w:ind w:left="360"/>
        <w:contextualSpacing/>
        <w:jc w:val="center"/>
        <w:rPr>
          <w:rFonts w:cstheme="minorHAnsi"/>
          <w:b/>
          <w:color w:val="333333"/>
          <w:sz w:val="24"/>
          <w:szCs w:val="24"/>
          <w:lang w:val="en"/>
        </w:rPr>
      </w:pPr>
      <w:bookmarkStart w:id="0" w:name="_GoBack"/>
      <w:bookmarkEnd w:id="0"/>
      <w:r w:rsidRPr="00B164CD">
        <w:rPr>
          <w:rFonts w:cstheme="minorHAnsi"/>
          <w:b/>
          <w:color w:val="333333"/>
          <w:sz w:val="24"/>
          <w:szCs w:val="24"/>
          <w:lang w:val="en"/>
        </w:rPr>
        <w:t>AccessLex Institute Tools for Pre-Law Students</w:t>
      </w:r>
    </w:p>
    <w:p w14:paraId="23366EAF" w14:textId="77777777" w:rsidR="00B164CD" w:rsidRPr="00B164CD" w:rsidRDefault="00B164CD" w:rsidP="00B164CD">
      <w:pPr>
        <w:spacing w:line="252" w:lineRule="auto"/>
        <w:ind w:left="360"/>
        <w:contextualSpacing/>
        <w:jc w:val="center"/>
        <w:rPr>
          <w:rFonts w:cstheme="minorHAnsi"/>
          <w:color w:val="333333"/>
          <w:sz w:val="24"/>
          <w:szCs w:val="24"/>
          <w:lang w:val="en"/>
        </w:rPr>
      </w:pPr>
    </w:p>
    <w:p w14:paraId="4A38ECCB" w14:textId="5476D06F" w:rsidR="004E7ABF" w:rsidRPr="00D506FF" w:rsidRDefault="002846A3" w:rsidP="004E7ABF">
      <w:pPr>
        <w:spacing w:line="252" w:lineRule="auto"/>
        <w:ind w:left="360"/>
        <w:contextualSpacing/>
        <w:rPr>
          <w:rFonts w:eastAsia="Times New Roman" w:cstheme="minorHAnsi"/>
        </w:rPr>
      </w:pPr>
      <w:r>
        <w:rPr>
          <w:rFonts w:cstheme="minorHAnsi"/>
          <w:color w:val="333333"/>
          <w:sz w:val="21"/>
          <w:szCs w:val="21"/>
          <w:lang w:val="en"/>
        </w:rPr>
        <w:t xml:space="preserve">Considering law school?  Here are two tools to help you with research and analysis of your decision. </w:t>
      </w:r>
      <w:r w:rsidR="00D506FF" w:rsidRPr="00D506FF">
        <w:rPr>
          <w:rFonts w:cstheme="minorHAnsi"/>
          <w:color w:val="333333"/>
          <w:sz w:val="21"/>
          <w:szCs w:val="21"/>
          <w:lang w:val="en"/>
        </w:rPr>
        <w:t xml:space="preserve"> </w:t>
      </w:r>
      <w:r>
        <w:rPr>
          <w:rFonts w:eastAsia="Times New Roman" w:cstheme="minorHAnsi"/>
        </w:rPr>
        <w:t>They are</w:t>
      </w:r>
      <w:r w:rsidR="004E7ABF" w:rsidRPr="00D506FF">
        <w:rPr>
          <w:rFonts w:eastAsia="Times New Roman" w:cstheme="minorHAnsi"/>
        </w:rPr>
        <w:t xml:space="preserve"> free, easy and anonymous. No login needed.  </w:t>
      </w:r>
    </w:p>
    <w:p w14:paraId="04E0FBAB" w14:textId="77777777" w:rsidR="004E7ABF" w:rsidRDefault="004E7ABF" w:rsidP="004E7ABF">
      <w:pPr>
        <w:pStyle w:val="NoSpacing"/>
        <w:rPr>
          <w:lang w:val="en"/>
        </w:rPr>
      </w:pPr>
    </w:p>
    <w:p w14:paraId="46239361" w14:textId="77777777" w:rsidR="00876918" w:rsidRDefault="004E7ABF" w:rsidP="004E7ABF">
      <w:pPr>
        <w:spacing w:line="252" w:lineRule="auto"/>
        <w:ind w:left="360"/>
        <w:rPr>
          <w:rFonts w:ascii="Calibri" w:eastAsia="Times New Roman" w:hAnsi="Calibri" w:cs="Calibri"/>
        </w:rPr>
      </w:pPr>
      <w:r w:rsidRPr="004E7ABF">
        <w:rPr>
          <w:rFonts w:ascii="Calibri" w:eastAsia="Times New Roman" w:hAnsi="Calibri" w:cs="Calibri"/>
          <w:b/>
          <w:bCs/>
        </w:rPr>
        <w:t xml:space="preserve">AccessLex Student Loan Calculator - </w:t>
      </w:r>
      <w:r w:rsidRPr="004E7ABF">
        <w:rPr>
          <w:rFonts w:ascii="Calibri" w:eastAsia="Times New Roman" w:hAnsi="Calibri" w:cs="Calibri"/>
        </w:rPr>
        <w:t xml:space="preserve">The </w:t>
      </w:r>
      <w:hyperlink r:id="rId5" w:history="1">
        <w:r w:rsidRPr="004E7ABF">
          <w:rPr>
            <w:rStyle w:val="Hyperlink"/>
            <w:rFonts w:ascii="Calibri" w:eastAsia="Times New Roman" w:hAnsi="Calibri" w:cs="Calibri"/>
          </w:rPr>
          <w:t>AccessLex Student Loan Calculator</w:t>
        </w:r>
      </w:hyperlink>
      <w:r w:rsidRPr="004E7ABF">
        <w:rPr>
          <w:rFonts w:ascii="Calibri" w:eastAsia="Times New Roman" w:hAnsi="Calibri" w:cs="Calibri"/>
        </w:rPr>
        <w:t xml:space="preserve"> can help you estimate the total cost of </w:t>
      </w:r>
      <w:r w:rsidR="002846A3">
        <w:rPr>
          <w:rFonts w:ascii="Calibri" w:eastAsia="Times New Roman" w:hAnsi="Calibri" w:cs="Calibri"/>
        </w:rPr>
        <w:t xml:space="preserve">a law </w:t>
      </w:r>
      <w:r w:rsidRPr="004E7ABF">
        <w:rPr>
          <w:rFonts w:ascii="Calibri" w:eastAsia="Times New Roman" w:hAnsi="Calibri" w:cs="Calibri"/>
        </w:rPr>
        <w:t>degree at various schools and look ahead at the impact those costs will have on your finances now and after graduation</w:t>
      </w:r>
      <w:r>
        <w:rPr>
          <w:rFonts w:ascii="Calibri" w:eastAsia="Times New Roman" w:hAnsi="Calibri" w:cs="Calibri"/>
        </w:rPr>
        <w:t xml:space="preserve">.  </w:t>
      </w:r>
    </w:p>
    <w:p w14:paraId="5DD9DC49" w14:textId="77777777" w:rsidR="004E7ABF" w:rsidRDefault="004E7ABF" w:rsidP="004E7ABF">
      <w:pPr>
        <w:spacing w:line="252" w:lineRule="auto"/>
        <w:ind w:left="3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Specifically, the calculator can answer the following questions:</w:t>
      </w:r>
    </w:p>
    <w:p w14:paraId="09E4B384" w14:textId="77777777" w:rsidR="004E7ABF" w:rsidRPr="00842F01" w:rsidRDefault="004E7ABF" w:rsidP="003022C9">
      <w:pPr>
        <w:pStyle w:val="NoSpacing"/>
        <w:numPr>
          <w:ilvl w:val="0"/>
          <w:numId w:val="4"/>
        </w:numPr>
        <w:rPr>
          <w:lang w:val="en"/>
        </w:rPr>
      </w:pPr>
      <w:r w:rsidRPr="00842F01">
        <w:rPr>
          <w:lang w:val="en"/>
        </w:rPr>
        <w:t>How much my law degree will cost</w:t>
      </w:r>
      <w:r w:rsidR="003022C9">
        <w:rPr>
          <w:lang w:val="en"/>
        </w:rPr>
        <w:t>?</w:t>
      </w:r>
    </w:p>
    <w:p w14:paraId="25C77E03" w14:textId="77777777" w:rsidR="004E7ABF" w:rsidRPr="00842F01" w:rsidRDefault="004E7ABF" w:rsidP="003022C9">
      <w:pPr>
        <w:pStyle w:val="NoSpacing"/>
        <w:numPr>
          <w:ilvl w:val="0"/>
          <w:numId w:val="4"/>
        </w:numPr>
        <w:rPr>
          <w:lang w:val="en"/>
        </w:rPr>
      </w:pPr>
      <w:r w:rsidRPr="00842F01">
        <w:rPr>
          <w:lang w:val="en"/>
        </w:rPr>
        <w:t>How much of that I should borrow</w:t>
      </w:r>
      <w:r w:rsidR="003022C9">
        <w:rPr>
          <w:lang w:val="en"/>
        </w:rPr>
        <w:t>?</w:t>
      </w:r>
    </w:p>
    <w:p w14:paraId="7139EF43" w14:textId="77777777" w:rsidR="004E7ABF" w:rsidRDefault="004E7ABF" w:rsidP="003022C9">
      <w:pPr>
        <w:pStyle w:val="NoSpacing"/>
        <w:numPr>
          <w:ilvl w:val="0"/>
          <w:numId w:val="4"/>
        </w:numPr>
        <w:rPr>
          <w:lang w:val="en"/>
        </w:rPr>
      </w:pPr>
      <w:r w:rsidRPr="00842F01">
        <w:rPr>
          <w:lang w:val="en"/>
        </w:rPr>
        <w:t>How I will pay it back</w:t>
      </w:r>
      <w:r w:rsidR="003022C9">
        <w:rPr>
          <w:lang w:val="en"/>
        </w:rPr>
        <w:t>?</w:t>
      </w:r>
    </w:p>
    <w:p w14:paraId="569CC3B1" w14:textId="77777777" w:rsidR="004E7ABF" w:rsidRPr="004E7ABF" w:rsidRDefault="004E7ABF" w:rsidP="004E7ABF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570C3BEF" w14:textId="77777777" w:rsidR="003022C9" w:rsidRDefault="004E7ABF" w:rsidP="004E7ABF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proofErr w:type="spellStart"/>
      <w:r w:rsidRPr="004E7ABF">
        <w:rPr>
          <w:rFonts w:ascii="Calibri" w:eastAsia="Times New Roman" w:hAnsi="Calibri" w:cs="Calibri"/>
          <w:b/>
          <w:bCs/>
        </w:rPr>
        <w:t>Analytix</w:t>
      </w:r>
      <w:proofErr w:type="spellEnd"/>
      <w:r w:rsidRPr="004E7ABF">
        <w:rPr>
          <w:rFonts w:ascii="Calibri" w:eastAsia="Times New Roman" w:hAnsi="Calibri" w:cs="Calibri"/>
          <w:b/>
          <w:bCs/>
        </w:rPr>
        <w:t xml:space="preserve"> by </w:t>
      </w:r>
      <w:proofErr w:type="spellStart"/>
      <w:r w:rsidRPr="004E7ABF">
        <w:rPr>
          <w:rFonts w:ascii="Calibri" w:eastAsia="Times New Roman" w:hAnsi="Calibri" w:cs="Calibri"/>
          <w:b/>
          <w:bCs/>
        </w:rPr>
        <w:t>AccessLex</w:t>
      </w:r>
      <w:proofErr w:type="spellEnd"/>
      <w:r w:rsidRPr="004E7ABF">
        <w:rPr>
          <w:rFonts w:ascii="Calibri" w:eastAsia="Times New Roman" w:hAnsi="Calibri" w:cs="Calibri"/>
          <w:b/>
          <w:bCs/>
        </w:rPr>
        <w:t xml:space="preserve"> </w:t>
      </w:r>
      <w:r w:rsidR="002C3F9C">
        <w:rPr>
          <w:rFonts w:ascii="Calibri" w:eastAsia="Times New Roman" w:hAnsi="Calibri" w:cs="Calibri"/>
          <w:b/>
          <w:bCs/>
        </w:rPr>
        <w:t>–</w:t>
      </w:r>
      <w:r w:rsidRPr="004E7ABF">
        <w:rPr>
          <w:rFonts w:ascii="Calibri" w:eastAsia="Times New Roman" w:hAnsi="Calibri" w:cs="Calibri"/>
          <w:b/>
          <w:bCs/>
        </w:rPr>
        <w:t xml:space="preserve"> </w:t>
      </w:r>
      <w:r w:rsidR="002C3F9C">
        <w:rPr>
          <w:rFonts w:ascii="Calibri" w:eastAsia="Times New Roman" w:hAnsi="Calibri" w:cs="Calibri"/>
        </w:rPr>
        <w:t xml:space="preserve">Smart people use data to </w:t>
      </w:r>
      <w:r w:rsidR="002846A3">
        <w:rPr>
          <w:rFonts w:ascii="Calibri" w:eastAsia="Times New Roman" w:hAnsi="Calibri" w:cs="Calibri"/>
        </w:rPr>
        <w:t>make better</w:t>
      </w:r>
      <w:r w:rsidR="002C3F9C">
        <w:rPr>
          <w:rFonts w:ascii="Calibri" w:eastAsia="Times New Roman" w:hAnsi="Calibri" w:cs="Calibri"/>
        </w:rPr>
        <w:t xml:space="preserve"> decisions</w:t>
      </w:r>
      <w:r w:rsidRPr="004E7ABF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 xml:space="preserve">  </w:t>
      </w:r>
      <w:hyperlink r:id="rId6" w:history="1">
        <w:proofErr w:type="spellStart"/>
        <w:r w:rsidRPr="004E7ABF">
          <w:rPr>
            <w:rStyle w:val="Hyperlink"/>
            <w:rFonts w:ascii="Calibri" w:eastAsia="Times New Roman" w:hAnsi="Calibri" w:cs="Calibri"/>
          </w:rPr>
          <w:t>Analytix</w:t>
        </w:r>
        <w:proofErr w:type="spellEnd"/>
        <w:r w:rsidRPr="004E7ABF">
          <w:rPr>
            <w:rStyle w:val="Hyperlink"/>
            <w:rFonts w:ascii="Calibri" w:eastAsia="Times New Roman" w:hAnsi="Calibri" w:cs="Calibri"/>
          </w:rPr>
          <w:t xml:space="preserve"> by </w:t>
        </w:r>
        <w:proofErr w:type="spellStart"/>
        <w:r w:rsidRPr="004E7ABF">
          <w:rPr>
            <w:rStyle w:val="Hyperlink"/>
            <w:rFonts w:ascii="Calibri" w:eastAsia="Times New Roman" w:hAnsi="Calibri" w:cs="Calibri"/>
          </w:rPr>
          <w:t>AccessLex</w:t>
        </w:r>
        <w:proofErr w:type="spellEnd"/>
      </w:hyperlink>
      <w:r w:rsidRPr="004E7ABF">
        <w:rPr>
          <w:rFonts w:ascii="Calibri" w:eastAsia="Times New Roman" w:hAnsi="Calibri" w:cs="Calibri"/>
        </w:rPr>
        <w:t xml:space="preserve"> </w:t>
      </w:r>
      <w:r w:rsidR="00876918">
        <w:rPr>
          <w:rFonts w:ascii="Calibri" w:eastAsia="Times New Roman" w:hAnsi="Calibri" w:cs="Calibri"/>
        </w:rPr>
        <w:t xml:space="preserve">allows you to compare up to 5 law schools </w:t>
      </w:r>
      <w:r w:rsidR="002846A3">
        <w:rPr>
          <w:rFonts w:ascii="Calibri" w:eastAsia="Times New Roman" w:hAnsi="Calibri" w:cs="Calibri"/>
        </w:rPr>
        <w:t>on criteria that matter – like employment outcomes, average scholarships awarded, and bar passage rates -- as</w:t>
      </w:r>
      <w:r w:rsidR="00876918">
        <w:rPr>
          <w:rFonts w:ascii="Calibri" w:eastAsia="Times New Roman" w:hAnsi="Calibri" w:cs="Calibri"/>
        </w:rPr>
        <w:t xml:space="preserve"> reported by law schools to the American Bar Association (ABA). </w:t>
      </w:r>
    </w:p>
    <w:p w14:paraId="0B64297A" w14:textId="77777777" w:rsidR="003022C9" w:rsidRDefault="003022C9" w:rsidP="004E7ABF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1C97E525" w14:textId="77777777" w:rsidR="00876918" w:rsidRDefault="003022C9" w:rsidP="004E7ABF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Compare the law schools that you are considering </w:t>
      </w:r>
      <w:r w:rsidR="0057371A">
        <w:rPr>
          <w:rFonts w:ascii="Calibri" w:eastAsia="Times New Roman" w:hAnsi="Calibri" w:cs="Calibri"/>
        </w:rPr>
        <w:t xml:space="preserve">using our </w:t>
      </w:r>
      <w:hyperlink r:id="rId7" w:history="1">
        <w:r w:rsidR="0057371A" w:rsidRPr="0057371A">
          <w:rPr>
            <w:rStyle w:val="Hyperlink"/>
            <w:rFonts w:ascii="Calibri" w:eastAsia="Times New Roman" w:hAnsi="Calibri" w:cs="Calibri"/>
          </w:rPr>
          <w:t>Side-by-Side Comparison</w:t>
        </w:r>
      </w:hyperlink>
      <w:r w:rsidR="0057371A">
        <w:rPr>
          <w:rFonts w:ascii="Calibri" w:eastAsia="Times New Roman" w:hAnsi="Calibri" w:cs="Calibri"/>
        </w:rPr>
        <w:t xml:space="preserve"> </w:t>
      </w:r>
      <w:r w:rsidR="002846A3">
        <w:rPr>
          <w:rFonts w:ascii="Calibri" w:eastAsia="Times New Roman" w:hAnsi="Calibri" w:cs="Calibri"/>
        </w:rPr>
        <w:t>on things like:</w:t>
      </w:r>
    </w:p>
    <w:p w14:paraId="0A3E7C49" w14:textId="77777777" w:rsidR="003022C9" w:rsidRDefault="003022C9" w:rsidP="003022C9">
      <w:pPr>
        <w:pStyle w:val="ListParagraph"/>
        <w:numPr>
          <w:ilvl w:val="0"/>
          <w:numId w:val="5"/>
        </w:num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LSAT scores of student applicants (25</w:t>
      </w:r>
      <w:r w:rsidRPr="003022C9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>, 50</w:t>
      </w:r>
      <w:r w:rsidR="0057371A" w:rsidRPr="003022C9">
        <w:rPr>
          <w:rFonts w:ascii="Calibri" w:eastAsia="Times New Roman" w:hAnsi="Calibri" w:cs="Calibri"/>
          <w:vertAlign w:val="superscript"/>
        </w:rPr>
        <w:t>th</w:t>
      </w:r>
      <w:r w:rsidR="0057371A"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</w:rPr>
        <w:t xml:space="preserve"> 75</w:t>
      </w:r>
      <w:r w:rsidRPr="003022C9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percentiles)</w:t>
      </w:r>
    </w:p>
    <w:p w14:paraId="1A32A6B5" w14:textId="77777777" w:rsidR="003022C9" w:rsidRDefault="003022C9" w:rsidP="003022C9">
      <w:pPr>
        <w:pStyle w:val="ListParagraph"/>
        <w:numPr>
          <w:ilvl w:val="0"/>
          <w:numId w:val="5"/>
        </w:num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Undergraduate GPA of student applicants (25</w:t>
      </w:r>
      <w:r w:rsidRPr="003022C9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>, 50</w:t>
      </w:r>
      <w:r w:rsidR="0057371A" w:rsidRPr="003022C9">
        <w:rPr>
          <w:rFonts w:ascii="Calibri" w:eastAsia="Times New Roman" w:hAnsi="Calibri" w:cs="Calibri"/>
          <w:vertAlign w:val="superscript"/>
        </w:rPr>
        <w:t>th</w:t>
      </w:r>
      <w:r w:rsidR="0057371A"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</w:rPr>
        <w:t xml:space="preserve"> 75</w:t>
      </w:r>
      <w:r w:rsidRPr="003022C9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percentiles)</w:t>
      </w:r>
    </w:p>
    <w:p w14:paraId="24322B59" w14:textId="77777777" w:rsidR="003022C9" w:rsidRDefault="0057371A" w:rsidP="003022C9">
      <w:pPr>
        <w:pStyle w:val="ListParagraph"/>
        <w:numPr>
          <w:ilvl w:val="0"/>
          <w:numId w:val="5"/>
        </w:num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Tuition and living expenses</w:t>
      </w:r>
    </w:p>
    <w:p w14:paraId="33B5B4A6" w14:textId="77777777" w:rsidR="0057371A" w:rsidRDefault="0057371A" w:rsidP="003022C9">
      <w:pPr>
        <w:pStyle w:val="ListParagraph"/>
        <w:numPr>
          <w:ilvl w:val="0"/>
          <w:numId w:val="5"/>
        </w:num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Grants and scholarships awarded</w:t>
      </w:r>
    </w:p>
    <w:p w14:paraId="5CE00A70" w14:textId="77777777" w:rsidR="0057371A" w:rsidRDefault="0057371A" w:rsidP="003022C9">
      <w:pPr>
        <w:pStyle w:val="ListParagraph"/>
        <w:numPr>
          <w:ilvl w:val="0"/>
          <w:numId w:val="5"/>
        </w:num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Bar passage rate</w:t>
      </w:r>
    </w:p>
    <w:p w14:paraId="19FD4521" w14:textId="77777777" w:rsidR="002846A3" w:rsidRPr="002846A3" w:rsidRDefault="002846A3" w:rsidP="002846A3">
      <w:pPr>
        <w:spacing w:line="252" w:lineRule="auto"/>
        <w:rPr>
          <w:rFonts w:ascii="Calibri" w:eastAsia="Times New Roman" w:hAnsi="Calibri" w:cs="Calibri"/>
        </w:rPr>
      </w:pPr>
    </w:p>
    <w:p w14:paraId="2451BFAF" w14:textId="77777777" w:rsidR="00D506FF" w:rsidRPr="00D506FF" w:rsidRDefault="00D506FF" w:rsidP="002846A3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 w:rsidRPr="00D506FF">
        <w:rPr>
          <w:rFonts w:cstheme="minorHAnsi"/>
          <w:color w:val="333333"/>
          <w:sz w:val="21"/>
          <w:szCs w:val="21"/>
        </w:rPr>
        <w:t>AccessLex is a nonprofit organization committed to helping talented, purpose-driven students find their path from aspiring lawyer to fulfilled professional. </w:t>
      </w:r>
      <w:r w:rsidR="002846A3">
        <w:rPr>
          <w:rFonts w:cstheme="minorHAnsi"/>
          <w:color w:val="333333"/>
          <w:sz w:val="21"/>
          <w:szCs w:val="21"/>
        </w:rPr>
        <w:t xml:space="preserve"> P</w:t>
      </w:r>
      <w:r w:rsidRPr="00D506FF">
        <w:rPr>
          <w:rFonts w:cstheme="minorHAnsi"/>
          <w:color w:val="333333"/>
          <w:sz w:val="21"/>
          <w:szCs w:val="21"/>
        </w:rPr>
        <w:t>ositively i</w:t>
      </w:r>
      <w:r w:rsidR="002846A3">
        <w:rPr>
          <w:rFonts w:cstheme="minorHAnsi"/>
          <w:color w:val="333333"/>
          <w:sz w:val="21"/>
          <w:szCs w:val="21"/>
        </w:rPr>
        <w:t>nfluencing legal education has</w:t>
      </w:r>
      <w:r w:rsidRPr="00D506FF">
        <w:rPr>
          <w:rFonts w:cstheme="minorHAnsi"/>
          <w:color w:val="333333"/>
          <w:sz w:val="21"/>
          <w:szCs w:val="21"/>
        </w:rPr>
        <w:t xml:space="preserve"> been at the heart of our organization’s mission since 1983.  </w:t>
      </w:r>
      <w:r w:rsidR="002846A3">
        <w:rPr>
          <w:rFonts w:cstheme="minorHAnsi"/>
          <w:color w:val="333333"/>
          <w:sz w:val="21"/>
          <w:szCs w:val="21"/>
        </w:rPr>
        <w:t xml:space="preserve">Our programs are research based and free to students and schools. </w:t>
      </w:r>
    </w:p>
    <w:p w14:paraId="6F3354FE" w14:textId="77777777" w:rsidR="003022C9" w:rsidRDefault="003022C9" w:rsidP="004E7ABF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1F508BDC" w14:textId="77777777" w:rsidR="003022C9" w:rsidRDefault="003022C9" w:rsidP="004E7ABF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70124CDD" w14:textId="77777777" w:rsidR="00876918" w:rsidRDefault="00876918" w:rsidP="004E7ABF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14:paraId="091BA13E" w14:textId="77777777" w:rsidR="004E7ABF" w:rsidRPr="00842F01" w:rsidRDefault="004E7ABF" w:rsidP="004E7ABF">
      <w:pPr>
        <w:pStyle w:val="NoSpacing"/>
        <w:rPr>
          <w:lang w:val="en"/>
        </w:rPr>
      </w:pPr>
    </w:p>
    <w:p w14:paraId="04056AD2" w14:textId="77777777" w:rsidR="00A60FE8" w:rsidRDefault="00A60FE8"/>
    <w:sectPr w:rsidR="00A6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00E"/>
    <w:multiLevelType w:val="multilevel"/>
    <w:tmpl w:val="538C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B4D9C"/>
    <w:multiLevelType w:val="hybridMultilevel"/>
    <w:tmpl w:val="4A82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5C"/>
    <w:multiLevelType w:val="hybridMultilevel"/>
    <w:tmpl w:val="31469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B2175"/>
    <w:multiLevelType w:val="hybridMultilevel"/>
    <w:tmpl w:val="0C8C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94F6A"/>
    <w:multiLevelType w:val="hybridMultilevel"/>
    <w:tmpl w:val="D24C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01"/>
    <w:rsid w:val="00117526"/>
    <w:rsid w:val="002846A3"/>
    <w:rsid w:val="002C3F9C"/>
    <w:rsid w:val="003022C9"/>
    <w:rsid w:val="004E7ABF"/>
    <w:rsid w:val="0057371A"/>
    <w:rsid w:val="00666F85"/>
    <w:rsid w:val="006B19BE"/>
    <w:rsid w:val="00842F01"/>
    <w:rsid w:val="00876918"/>
    <w:rsid w:val="00A60FE8"/>
    <w:rsid w:val="00B164CD"/>
    <w:rsid w:val="00D5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5D05"/>
  <w15:chartTrackingRefBased/>
  <w15:docId w15:val="{00462944-9BCA-4D19-9696-C3695E1A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F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A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7A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6918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57371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20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3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1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  <w:divsChild>
                                        <w:div w:id="1896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3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651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  <w:divsChild>
                                        <w:div w:id="7865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96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  <w:divsChild>
                                        <w:div w:id="64292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51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42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  <w:divsChild>
                                        <w:div w:id="175643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alytix.accesslex.org/SideBySideInstit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esslex.org/analytix-by-accesslex" TargetMode="External"/><Relationship Id="rId5" Type="http://schemas.openxmlformats.org/officeDocument/2006/relationships/hyperlink" Target="http://www.accesslex.org/calcul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Siwarski</dc:creator>
  <cp:keywords/>
  <dc:description/>
  <cp:lastModifiedBy>Joanna Kirk</cp:lastModifiedBy>
  <cp:revision>2</cp:revision>
  <dcterms:created xsi:type="dcterms:W3CDTF">2018-07-26T13:29:00Z</dcterms:created>
  <dcterms:modified xsi:type="dcterms:W3CDTF">2018-07-26T13:29:00Z</dcterms:modified>
</cp:coreProperties>
</file>